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hd w:fill="EEECE1" w:val="clear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Banco de Itens</w:t>
      </w:r>
    </w:p>
    <w:p>
      <w:pPr>
        <w:pStyle w:val="Normal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14"/>
        <w:gridCol w:w="1094"/>
        <w:gridCol w:w="976"/>
        <w:gridCol w:w="186"/>
        <w:gridCol w:w="1202"/>
        <w:gridCol w:w="1039"/>
        <w:gridCol w:w="1984"/>
      </w:tblGrid>
      <w:tr>
        <w:trPr>
          <w:cantSplit w:val="false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Disciplina</w:t>
            </w:r>
          </w:p>
        </w:tc>
        <w:tc>
          <w:tcPr>
            <w:tcW w:w="33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4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Código da questão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ArtD06IT003</w:t>
            </w:r>
          </w:p>
        </w:tc>
      </w:tr>
      <w:tr>
        <w:trPr>
          <w:cantSplit w:val="false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Descritor</w:t>
            </w:r>
          </w:p>
        </w:tc>
        <w:tc>
          <w:tcPr>
            <w:tcW w:w="77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  </w:t>
            </w:r>
            <w:r>
              <w:rPr>
                <w:rFonts w:cs="Arial" w:ascii="Arial" w:hAnsi="Arial"/>
                <w:sz w:val="22"/>
                <w:szCs w:val="22"/>
              </w:rPr>
              <w:t>D6 Arte: Interpretar informações que tratam de sentimentos, impressões e características em obras de arte...</w:t>
            </w:r>
          </w:p>
        </w:tc>
      </w:tr>
      <w:tr>
        <w:trPr>
          <w:cantSplit w:val="false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Dificuldade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Fácil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Média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Difícil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Gabarito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Texto 01</w:t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 “</w:t>
      </w:r>
      <w:r>
        <w:rPr>
          <w:rFonts w:cs="Arial" w:ascii="Arial" w:hAnsi="Arial"/>
        </w:rPr>
        <w:t xml:space="preserve">Os balanços e estudos disponíveis sobre arte contemporânea tendem a fixar-se na década de 1960, sobretudo com o advento da </w:t>
      </w:r>
      <w:hyperlink r:id="rId2">
        <w:r>
          <w:rPr>
            <w:rStyle w:val="LinkdaInternet"/>
            <w:rFonts w:cs="Arial" w:ascii="Arial" w:hAnsi="Arial"/>
            <w:u w:val="none"/>
          </w:rPr>
          <w:t>arte pop</w:t>
        </w:r>
      </w:hyperlink>
      <w:r>
        <w:rPr>
          <w:rFonts w:cs="Arial" w:ascii="Arial" w:hAnsi="Arial"/>
        </w:rPr>
        <w:t xml:space="preserve"> e do </w:t>
      </w:r>
      <w:hyperlink r:id="rId3">
        <w:r>
          <w:rPr>
            <w:rStyle w:val="LinkdaInternet"/>
            <w:rFonts w:cs="Arial" w:ascii="Arial" w:hAnsi="Arial"/>
            <w:u w:val="none"/>
          </w:rPr>
          <w:t>minimalismo</w:t>
        </w:r>
      </w:hyperlink>
      <w:r>
        <w:rPr>
          <w:rFonts w:cs="Arial" w:ascii="Arial" w:hAnsi="Arial"/>
        </w:rPr>
        <w:t xml:space="preserve">, um rompimento em relação à pauta moderna, o que é lido por alguns como o início do pós-modernismo. Impossível pensar a arte a partir de então em categorias como "pintura" ou "escultura". Mais difícil ainda pensá-la com base no valor visual, como quer o crítico norte-americano Clement Greenberg. A cena contemporânea - que se esboça num mercado internacionalizado das novas mídias e tecnologias e de variados atores sociais que aliam política e subjetividade (negros, mulheres, homossexuais etc.), explode os enquadramentos sociais e artísticos do </w:t>
      </w:r>
      <w:hyperlink r:id="rId4">
        <w:r>
          <w:rPr>
            <w:rStyle w:val="LinkdaInternet"/>
            <w:rFonts w:cs="Arial" w:ascii="Arial" w:hAnsi="Arial"/>
            <w:u w:val="none"/>
          </w:rPr>
          <w:t>modernismo</w:t>
        </w:r>
      </w:hyperlink>
      <w:r>
        <w:rPr>
          <w:rFonts w:cs="Arial" w:ascii="Arial" w:hAnsi="Arial"/>
        </w:rPr>
        <w:t>, abrindo-se a experiências culturais díspares. As novas orientações artísticas, apesar de distintas, partilham um espírito comum: é cada qual o seu modo, tentativas de dirigir a arte às coisas do mundo, à natureza, à realidade urbana e ao mundo da tecnologia. As obras articulam diferentes linguagens,como a dança, música, pintura, teatro, escultura, literatura . Desafiando as classificações habituais, colocando em questão o caráter das representações artísticas e a própria definição de arte. Interpelam criticamente também o mercado e o sistema de validação da arte.</w:t>
      </w:r>
      <w:r>
        <w:rPr/>
        <w:t xml:space="preserve"> </w:t>
      </w:r>
    </w:p>
    <w:p>
      <w:pPr>
        <w:pStyle w:val="Normal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Fonte: </w:t>
      </w:r>
      <w:r>
        <w:rPr>
          <w:rFonts w:cs="Arial" w:ascii="Arial" w:hAnsi="Arial"/>
          <w:sz w:val="20"/>
          <w:szCs w:val="20"/>
        </w:rPr>
        <w:t>http://www.infoescola.com/artes/pop-art/</w:t>
      </w:r>
    </w:p>
    <w:p>
      <w:pPr>
        <w:pStyle w:val="Normal"/>
        <w:numPr>
          <w:ilvl w:val="0"/>
          <w:numId w:val="1"/>
        </w:numPr>
        <w:tabs>
          <w:tab w:val="left" w:pos="-360" w:leader="none"/>
        </w:tabs>
        <w:spacing w:lineRule="auto" w:line="240" w:before="0" w:after="0"/>
        <w:ind w:left="-720" w:right="0" w:hanging="36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Quais os aspectos históricos que marcam o surgimento da arte contemporânea?</w:t>
      </w:r>
    </w:p>
    <w:p>
      <w:pPr>
        <w:pStyle w:val="Normal"/>
        <w:numPr>
          <w:ilvl w:val="0"/>
          <w:numId w:val="1"/>
        </w:numPr>
        <w:tabs>
          <w:tab w:val="left" w:pos="-360" w:leader="none"/>
        </w:tabs>
        <w:spacing w:lineRule="auto" w:line="240" w:before="0" w:after="0"/>
        <w:ind w:left="-708" w:right="0" w:hanging="36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 que é “Pop Art”, e “Op Art”, e quais suas características?</w:t>
      </w:r>
    </w:p>
    <w:p>
      <w:pPr>
        <w:pStyle w:val="Normal"/>
        <w:numPr>
          <w:ilvl w:val="0"/>
          <w:numId w:val="1"/>
        </w:numPr>
        <w:tabs>
          <w:tab w:val="left" w:pos="-360" w:leader="none"/>
        </w:tabs>
        <w:spacing w:lineRule="auto" w:line="240" w:before="0" w:after="0"/>
        <w:ind w:left="0" w:right="0" w:hanging="108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Quais as diferenças da arte moderna para a arte contemporânea?</w:t>
      </w:r>
    </w:p>
    <w:p>
      <w:pPr>
        <w:pStyle w:val="Normal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5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PREFEITURA MUNICIPAL DE CAMAÇARI</w:t>
      <w:drawing>
        <wp:anchor behindDoc="1" distT="0" distB="0" distL="114300" distR="114300" simplePos="0" locked="0" layoutInCell="1" allowOverlap="1" relativeHeight="0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0" t="0" r="0" b="0"/>
          <wp:wrapSquare wrapText="bothSides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499745"/>
          <wp:effectExtent l="0" t="0" r="0" b="0"/>
          <wp:wrapNone/>
          <wp:docPr id="1" name="Picture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SECRETARIA DE EDUCAÇÃO</w:t>
    </w:r>
  </w:p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COORDENADORIA DE ENSINO E APRENDIZAGEM - CEAP</w:t>
    </w:r>
  </w:p>
  <w:p>
    <w:pPr>
      <w:pStyle w:val="Normal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ANOS FINAIS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uiPriority="0" w:name="Hyperlink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910c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pt-B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uiPriority w:val="99"/>
    <w:link w:val="Cabealho"/>
    <w:rsid w:val="0027769e"/>
    <w:basedOn w:val="DefaultParagraphFont"/>
    <w:rPr/>
  </w:style>
  <w:style w:type="character" w:styleId="RodapChar" w:customStyle="1">
    <w:name w:val="Rodapé Char"/>
    <w:uiPriority w:val="99"/>
    <w:link w:val="Rodap"/>
    <w:rsid w:val="0027769e"/>
    <w:basedOn w:val="DefaultParagraphFont"/>
    <w:rPr/>
  </w:style>
  <w:style w:type="character" w:styleId="LinkdaInternet">
    <w:name w:val="Link da Internet"/>
    <w:rsid w:val="007e097b"/>
    <w:basedOn w:val="DefaultParagraphFont"/>
    <w:rPr>
      <w:color w:val="000000"/>
      <w:u w:val="single"/>
      <w:lang w:val="zxx" w:eastAsia="zxx" w:bidi="zxx"/>
    </w:rPr>
  </w:style>
  <w:style w:type="character" w:styleId="ListLabel1">
    <w:name w:val="ListLabel 1"/>
    <w:rPr>
      <w:rFonts w:cs="Arial"/>
      <w:sz w:val="24"/>
      <w:szCs w:val="24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Cabeçalho"/>
    <w:uiPriority w:val="99"/>
    <w:unhideWhenUsed/>
    <w:link w:val="CabealhoChar"/>
    <w:rsid w:val="0027769e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uiPriority w:val="99"/>
    <w:unhideWhenUsed/>
    <w:link w:val="RodapChar"/>
    <w:rsid w:val="0027769e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uiPriority w:val="34"/>
    <w:qFormat/>
    <w:rsid w:val="00df3608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7769e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taucultural.org.br/aplicExternas/enciclopedia_IC/index.cfm?fuseaction=termos_texto&amp;cd_verbete=367&amp;cd_idioma=28555" TargetMode="External"/><Relationship Id="rId3" Type="http://schemas.openxmlformats.org/officeDocument/2006/relationships/hyperlink" Target="http://www.itaucultural.org.br/aplicExternas/enciclopedia_IC/index.cfm?fuseaction=termos_texto&amp;cd_verbete=3229&amp;cd_idioma=28555" TargetMode="External"/><Relationship Id="rId4" Type="http://schemas.openxmlformats.org/officeDocument/2006/relationships/hyperlink" Target="http://www.itaucultural.org.br/aplicExternas/enciclopedia_IC/index.cfm?fuseaction=termos_texto&amp;cd_verbete=355&amp;cd_idioma=28555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2015-09-15T19:08:00Z</dcterms:created>
  <dc:creator>JULIANA PINHO</dc:creator>
  <dc:language>pt-BR</dc:language>
  <cp:lastModifiedBy>usuario</cp:lastModifiedBy>
  <dcterms:modified xsi:type="dcterms:W3CDTF">2015-09-15T19:08:00Z</dcterms:modified>
  <cp:revision>2</cp:revision>
</cp:coreProperties>
</file>